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0001" w14:textId="0B7DF4E0" w:rsidR="00C1051A" w:rsidRPr="00E62E8B" w:rsidRDefault="00C1051A" w:rsidP="00C1051A">
      <w:pPr>
        <w:rPr>
          <w:b/>
          <w:bCs/>
          <w:sz w:val="24"/>
          <w:szCs w:val="24"/>
        </w:rPr>
      </w:pPr>
      <w:r w:rsidRPr="00E62E8B">
        <w:rPr>
          <w:b/>
          <w:bCs/>
          <w:sz w:val="24"/>
          <w:szCs w:val="24"/>
        </w:rPr>
        <w:t>Toevoeging aan artikel ‘Leescrisis’: §</w:t>
      </w:r>
      <w:r>
        <w:rPr>
          <w:b/>
          <w:bCs/>
          <w:sz w:val="24"/>
          <w:szCs w:val="24"/>
        </w:rPr>
        <w:t>5</w:t>
      </w:r>
      <w:r w:rsidRPr="00E62E8B">
        <w:rPr>
          <w:b/>
          <w:bCs/>
          <w:sz w:val="24"/>
          <w:szCs w:val="24"/>
        </w:rPr>
        <w:t>.2</w:t>
      </w:r>
      <w:r>
        <w:rPr>
          <w:b/>
          <w:bCs/>
          <w:sz w:val="24"/>
          <w:szCs w:val="24"/>
        </w:rPr>
        <w:t>4b</w:t>
      </w:r>
      <w:r w:rsidRPr="00E62E8B">
        <w:rPr>
          <w:b/>
          <w:bCs/>
          <w:sz w:val="24"/>
          <w:szCs w:val="24"/>
        </w:rPr>
        <w:t xml:space="preserve"> (</w:t>
      </w:r>
      <w:r w:rsidR="00501CAD">
        <w:rPr>
          <w:b/>
          <w:bCs/>
          <w:sz w:val="24"/>
          <w:szCs w:val="24"/>
        </w:rPr>
        <w:t>2</w:t>
      </w:r>
      <w:r w:rsidRPr="00E62E8B">
        <w:rPr>
          <w:b/>
          <w:bCs/>
          <w:sz w:val="24"/>
          <w:szCs w:val="24"/>
        </w:rPr>
        <w:t xml:space="preserve"> februari 2026)</w:t>
      </w:r>
    </w:p>
    <w:p w14:paraId="18131AF4" w14:textId="77777777" w:rsidR="00C1051A" w:rsidRDefault="00C1051A" w:rsidP="00C1051A"/>
    <w:p w14:paraId="2FFDCE65" w14:textId="491677BD" w:rsidR="00C1051A" w:rsidRPr="00E62E8B" w:rsidRDefault="00C1051A" w:rsidP="00C1051A">
      <w:pPr>
        <w:rPr>
          <w:b/>
          <w:bCs/>
        </w:rPr>
      </w:pPr>
      <w:r>
        <w:rPr>
          <w:b/>
          <w:bCs/>
        </w:rPr>
        <w:t>5</w:t>
      </w:r>
      <w:r w:rsidRPr="00E62E8B">
        <w:rPr>
          <w:b/>
          <w:bCs/>
        </w:rPr>
        <w:t>.2</w:t>
      </w:r>
      <w:r>
        <w:rPr>
          <w:b/>
          <w:bCs/>
        </w:rPr>
        <w:t>4b</w:t>
      </w:r>
      <w:r w:rsidRPr="00E62E8B">
        <w:rPr>
          <w:b/>
          <w:bCs/>
        </w:rPr>
        <w:t xml:space="preserve">  </w:t>
      </w:r>
      <w:r>
        <w:rPr>
          <w:b/>
          <w:bCs/>
        </w:rPr>
        <w:t>Statistisch</w:t>
      </w:r>
      <w:r w:rsidR="00A05F17">
        <w:rPr>
          <w:b/>
          <w:bCs/>
        </w:rPr>
        <w:t>e evidentie</w:t>
      </w:r>
      <w:r>
        <w:rPr>
          <w:b/>
          <w:bCs/>
        </w:rPr>
        <w:t xml:space="preserve"> in het regeerakkoord van 2026</w:t>
      </w:r>
      <w:r w:rsidRPr="00E62E8B">
        <w:rPr>
          <w:b/>
          <w:bCs/>
        </w:rPr>
        <w:t xml:space="preserve"> (202</w:t>
      </w:r>
      <w:r>
        <w:rPr>
          <w:b/>
          <w:bCs/>
        </w:rPr>
        <w:t>6</w:t>
      </w:r>
      <w:r w:rsidRPr="00E62E8B">
        <w:rPr>
          <w:b/>
          <w:bCs/>
        </w:rPr>
        <w:t>-</w:t>
      </w:r>
      <w:r>
        <w:rPr>
          <w:b/>
          <w:bCs/>
        </w:rPr>
        <w:t>1</w:t>
      </w:r>
      <w:r w:rsidRPr="00E62E8B">
        <w:rPr>
          <w:b/>
          <w:bCs/>
        </w:rPr>
        <w:t>)</w:t>
      </w:r>
    </w:p>
    <w:p w14:paraId="18869B85" w14:textId="5D7D448D" w:rsidR="0061228A" w:rsidRDefault="00C1051A" w:rsidP="00522DF9">
      <w:pPr>
        <w:tabs>
          <w:tab w:val="left" w:pos="284"/>
        </w:tabs>
      </w:pPr>
      <w:r>
        <w:t xml:space="preserve">Het regeerakkoord </w:t>
      </w:r>
      <w:r w:rsidRPr="00E62E8B">
        <w:rPr>
          <w:i/>
          <w:iCs/>
        </w:rPr>
        <w:t>Aan de slag</w:t>
      </w:r>
      <w:r>
        <w:t xml:space="preserve"> van 30 januari 2026</w:t>
      </w:r>
      <w:r>
        <w:rPr>
          <w:vertAlign w:val="superscript"/>
        </w:rPr>
        <w:t>1</w:t>
      </w:r>
      <w:r>
        <w:t xml:space="preserve"> doelt in het hoofdstuk ‘Goed onderwijs en wetenschap’ (p.46-51)</w:t>
      </w:r>
      <w:r w:rsidR="0061228A">
        <w:t xml:space="preserve"> ten minste </w:t>
      </w:r>
      <w:r w:rsidR="00A05F17">
        <w:t>drie ke</w:t>
      </w:r>
      <w:r w:rsidR="0061228A">
        <w:t xml:space="preserve">er op statistisch </w:t>
      </w:r>
      <w:r w:rsidR="003F460C">
        <w:t>evidentie</w:t>
      </w:r>
      <w:r w:rsidR="0061228A">
        <w:t xml:space="preserve"> voor lesmethodes en dergelijke (p.46-47):</w:t>
      </w:r>
    </w:p>
    <w:p w14:paraId="76946971" w14:textId="55637060" w:rsidR="0061228A" w:rsidRPr="00A05F17" w:rsidRDefault="00A05F17" w:rsidP="00522DF9">
      <w:pPr>
        <w:tabs>
          <w:tab w:val="left" w:pos="284"/>
        </w:tabs>
        <w:rPr>
          <w:sz w:val="10"/>
          <w:szCs w:val="10"/>
        </w:rPr>
      </w:pPr>
      <w:r w:rsidRPr="00A05F17">
        <w:rPr>
          <w:sz w:val="10"/>
          <w:szCs w:val="10"/>
        </w:rPr>
        <w:t xml:space="preserve">   </w:t>
      </w:r>
    </w:p>
    <w:p w14:paraId="69A1319A" w14:textId="78EF9F05" w:rsidR="0061228A" w:rsidRDefault="0061228A" w:rsidP="00A05F17">
      <w:pPr>
        <w:pStyle w:val="Lijstalinea"/>
        <w:numPr>
          <w:ilvl w:val="0"/>
          <w:numId w:val="2"/>
        </w:numPr>
        <w:tabs>
          <w:tab w:val="left" w:pos="284"/>
        </w:tabs>
        <w:ind w:left="284" w:hanging="284"/>
      </w:pPr>
      <w:r>
        <w:t>‘</w:t>
      </w:r>
      <w:r w:rsidRPr="00C1051A">
        <w:t>We investeren in bewezen aanpakken zoals de rijke schooldag en voor- en vroegschoolse educatie</w:t>
      </w:r>
      <w:r>
        <w:t>’,</w:t>
      </w:r>
    </w:p>
    <w:p w14:paraId="09AF8B2F" w14:textId="37B2E2D2" w:rsidR="0061228A" w:rsidRDefault="0061228A" w:rsidP="00A05F17">
      <w:pPr>
        <w:pStyle w:val="Lijstalinea"/>
        <w:numPr>
          <w:ilvl w:val="0"/>
          <w:numId w:val="2"/>
        </w:numPr>
        <w:tabs>
          <w:tab w:val="left" w:pos="284"/>
        </w:tabs>
        <w:ind w:left="284" w:hanging="284"/>
      </w:pPr>
      <w:r>
        <w:t>‘</w:t>
      </w:r>
      <w:r w:rsidRPr="0061228A">
        <w:t xml:space="preserve">Leraren krijgen aantoonbaar meer tijd </w:t>
      </w:r>
      <w:r>
        <w:t>[…]</w:t>
      </w:r>
      <w:r w:rsidRPr="0061228A">
        <w:t xml:space="preserve"> voor werken met bewezen effectieve kennis om de basisvaardigheden duurzaam te verbeteren, met duidelijke doelen voor leerprestaties</w:t>
      </w:r>
      <w:r>
        <w:t>’</w:t>
      </w:r>
      <w:r w:rsidR="00A05F17">
        <w:t xml:space="preserve"> </w:t>
      </w:r>
      <w:r>
        <w:t>en</w:t>
      </w:r>
    </w:p>
    <w:p w14:paraId="5E922B14" w14:textId="56B266F0" w:rsidR="0061228A" w:rsidRDefault="0061228A" w:rsidP="00A05F17">
      <w:pPr>
        <w:pStyle w:val="Lijstalinea"/>
        <w:numPr>
          <w:ilvl w:val="0"/>
          <w:numId w:val="2"/>
        </w:numPr>
        <w:tabs>
          <w:tab w:val="left" w:pos="284"/>
        </w:tabs>
        <w:ind w:left="284" w:hanging="284"/>
      </w:pPr>
      <w:r>
        <w:t>‘</w:t>
      </w:r>
      <w:r w:rsidR="00A05F17" w:rsidRPr="00A05F17">
        <w:t>Daarnaast gaan we pesten tegen met effectief bewezen methoden</w:t>
      </w:r>
      <w:r>
        <w:t>’.</w:t>
      </w:r>
    </w:p>
    <w:p w14:paraId="0C346BDD" w14:textId="77777777" w:rsidR="0061228A" w:rsidRDefault="0061228A" w:rsidP="0061228A">
      <w:pPr>
        <w:tabs>
          <w:tab w:val="left" w:pos="284"/>
        </w:tabs>
      </w:pPr>
    </w:p>
    <w:p w14:paraId="6D99F81E" w14:textId="72C37142" w:rsidR="00A05F17" w:rsidRDefault="0061228A" w:rsidP="0061228A">
      <w:pPr>
        <w:tabs>
          <w:tab w:val="left" w:pos="284"/>
        </w:tabs>
      </w:pPr>
      <w:r w:rsidRPr="0061228A">
        <w:rPr>
          <w:i/>
          <w:iCs/>
        </w:rPr>
        <w:t>Bespreking</w:t>
      </w:r>
      <w:r>
        <w:t xml:space="preserve">  </w:t>
      </w:r>
      <w:r w:rsidR="00A05F17">
        <w:t xml:space="preserve">Gezien het onderwijsbeleid van de afgelopen decennia en omdat </w:t>
      </w:r>
      <w:r w:rsidR="00A05F17" w:rsidRPr="003F460C">
        <w:rPr>
          <w:i/>
          <w:iCs/>
        </w:rPr>
        <w:t>Aan de slag</w:t>
      </w:r>
      <w:r w:rsidR="00A05F17">
        <w:t xml:space="preserve"> geen kwalitatieve breuk daarmee aankondigt, kan het niet anders of met ‘bewezen aanpakken’, ‘bewezen effectieve kennis’ en ‘effectief bewezen methoden’ doelt het op statistische evidentie: een uitspraak over een interventie, een methode of wat dan ook die op enige maat statistisch significant blijkt te zijn, </w:t>
      </w:r>
      <w:r w:rsidR="003F460C">
        <w:t>zou</w:t>
      </w:r>
      <w:r w:rsidR="00A05F17">
        <w:t xml:space="preserve"> als ‘feit’ </w:t>
      </w:r>
      <w:r w:rsidR="003F460C">
        <w:t xml:space="preserve">mogen </w:t>
      </w:r>
      <w:r w:rsidR="00A05F17">
        <w:t>worden aangemerkt. Om twee redenen is dit onhoudbaar</w:t>
      </w:r>
      <w:r w:rsidR="0033453C">
        <w:t xml:space="preserve"> (artikel, §3)</w:t>
      </w:r>
      <w:r w:rsidR="00A05F17">
        <w:t>:</w:t>
      </w:r>
    </w:p>
    <w:p w14:paraId="19855A46" w14:textId="179B4E65" w:rsidR="0061228A" w:rsidRDefault="00A05F17" w:rsidP="00A05F17">
      <w:pPr>
        <w:tabs>
          <w:tab w:val="left" w:pos="284"/>
        </w:tabs>
      </w:pPr>
      <w:r>
        <w:tab/>
        <w:t xml:space="preserve">a. De puntentoekenningen daarin zijn psychologisch leeg en kunnen bij de best denkbare statistische significantie </w:t>
      </w:r>
      <w:r w:rsidR="003F460C">
        <w:t xml:space="preserve">in de uitkomsten </w:t>
      </w:r>
      <w:r>
        <w:t xml:space="preserve">niet tot psychologische en/of onderwijskundige betekenissen leiden. </w:t>
      </w:r>
    </w:p>
    <w:p w14:paraId="1A664049" w14:textId="18686662" w:rsidR="00A05F17" w:rsidRDefault="00A05F17" w:rsidP="00A05F17">
      <w:pPr>
        <w:tabs>
          <w:tab w:val="left" w:pos="284"/>
        </w:tabs>
      </w:pPr>
      <w:r>
        <w:tab/>
        <w:t>b. Zelfs als men die significanties als psychologische en/of onderwijskundige feiten zou willen aanmerken, dan nog wordt dat ondergraven door de replicatiecrisis in de mens-, maatschappij- en beleidswetenschappen: wat vorig jaar een ‘</w:t>
      </w:r>
      <w:r w:rsidR="003F460C">
        <w:t xml:space="preserve">statistisch significant </w:t>
      </w:r>
      <w:r>
        <w:t xml:space="preserve">feit’ was, is dat nu wellicht niet meer en volgend jaar </w:t>
      </w:r>
      <w:r w:rsidR="003F460C">
        <w:t xml:space="preserve">wellicht </w:t>
      </w:r>
      <w:r>
        <w:t xml:space="preserve">weer wel.  </w:t>
      </w:r>
    </w:p>
    <w:p w14:paraId="618A6603" w14:textId="77777777" w:rsidR="00A05F17" w:rsidRDefault="00A05F17" w:rsidP="00522DF9">
      <w:pPr>
        <w:tabs>
          <w:tab w:val="left" w:pos="284"/>
        </w:tabs>
      </w:pPr>
    </w:p>
    <w:p w14:paraId="69898E9E" w14:textId="042FD769" w:rsidR="00A05F17" w:rsidRDefault="00A05F17" w:rsidP="00522DF9">
      <w:pPr>
        <w:tabs>
          <w:tab w:val="left" w:pos="284"/>
        </w:tabs>
      </w:pPr>
      <w:r>
        <w:t xml:space="preserve">Ten minste één keer staat het woord ‘effectief’ er terecht, namelijk in de </w:t>
      </w:r>
      <w:r w:rsidR="0033453C">
        <w:t>passage</w:t>
      </w:r>
      <w:r>
        <w:t xml:space="preserve"> ‘</w:t>
      </w:r>
      <w:r w:rsidR="0033453C" w:rsidRPr="0033453C">
        <w:t>We zorgen dat onderwijsinvesteringen effectief en doelmatig worden ingezet. Leraren zijn te veel tijd kwijt aan regeldruk en administratie</w:t>
      </w:r>
      <w:r>
        <w:t xml:space="preserve">’ (p.47). </w:t>
      </w:r>
      <w:r w:rsidR="0033453C">
        <w:t>Daar ben ik uiteraard erg vóór. De afgelopen tijd ging te veel tijd en dus ook te veel geld naar regeldruk en het invullen van allerlei papieren, dat vaak als ‘administratie’ wordt aangeduid, zodat te veel onderwijsgeld niet effectief en doelmatig werd uitgegeven.  Dat dat de komende tijd gaat veranderen, valt alleen maar toe te juichen.</w:t>
      </w:r>
    </w:p>
    <w:p w14:paraId="2E52690F" w14:textId="30133FB9" w:rsidR="0033453C" w:rsidRDefault="0033453C" w:rsidP="00522DF9">
      <w:pPr>
        <w:tabs>
          <w:tab w:val="left" w:pos="284"/>
        </w:tabs>
      </w:pPr>
      <w:r>
        <w:tab/>
        <w:t>Ik ben dus niet tegen effecti</w:t>
      </w:r>
      <w:r w:rsidR="003F460C">
        <w:t>e</w:t>
      </w:r>
      <w:r>
        <w:t>ve</w:t>
      </w:r>
      <w:r w:rsidR="003F460C">
        <w:t xml:space="preserve"> procedures</w:t>
      </w:r>
      <w:r>
        <w:t>, maar wel tegen ‘effectief bewijs’</w:t>
      </w:r>
      <w:r w:rsidR="003F460C">
        <w:t xml:space="preserve"> in de zin van</w:t>
      </w:r>
      <w:r>
        <w:t xml:space="preserve"> ‘statistische evidentie’.</w:t>
      </w:r>
    </w:p>
    <w:p w14:paraId="42ED5FCB" w14:textId="77777777" w:rsidR="00A05F17" w:rsidRDefault="00A05F17" w:rsidP="00522DF9">
      <w:pPr>
        <w:tabs>
          <w:tab w:val="left" w:pos="284"/>
        </w:tabs>
      </w:pPr>
    </w:p>
    <w:p w14:paraId="4A69B2E7" w14:textId="094A8FBC" w:rsidR="00A05F17" w:rsidRPr="00C1051A" w:rsidRDefault="0033453C" w:rsidP="00522DF9">
      <w:pPr>
        <w:tabs>
          <w:tab w:val="left" w:pos="284"/>
        </w:tabs>
      </w:pPr>
      <w:r>
        <w:t xml:space="preserve">Tot slot schrijft het regeerakkoord: </w:t>
      </w:r>
      <w:r w:rsidR="00A05F17">
        <w:t>‘</w:t>
      </w:r>
      <w:r w:rsidR="00A05F17" w:rsidRPr="0061228A">
        <w:t>In aansluiting op het kwaliteitskader voor leermiddelen komt er een keurmerk voor lesmethoden op het gebied van basisvaardigheden</w:t>
      </w:r>
      <w:r w:rsidR="00A05F17">
        <w:t>’</w:t>
      </w:r>
      <w:r>
        <w:t xml:space="preserve"> (p.47). # Als dat keurmerk gebaseerd zal zijn op methodes die de psychologische ontwikkeling ontken</w:t>
      </w:r>
      <w:r w:rsidR="003F460C">
        <w:t>nen</w:t>
      </w:r>
      <w:r>
        <w:t xml:space="preserve"> en/of psychometrische middelen gebruik</w:t>
      </w:r>
      <w:r w:rsidR="003F460C">
        <w:t>en</w:t>
      </w:r>
      <w:r>
        <w:t xml:space="preserve"> – zoals </w:t>
      </w:r>
      <w:r w:rsidR="003F460C">
        <w:t xml:space="preserve">beide </w:t>
      </w:r>
      <w:r>
        <w:t xml:space="preserve">in de </w:t>
      </w:r>
      <w:r w:rsidRPr="0033453C">
        <w:rPr>
          <w:i/>
          <w:iCs/>
        </w:rPr>
        <w:t>Monitor Leskwaliteit</w:t>
      </w:r>
      <w:r>
        <w:t xml:space="preserve"> gebeurt (artikel, p.43) – dan ziet het er slecht uit voor leermiddelen die </w:t>
      </w:r>
      <w:r w:rsidR="003F460C">
        <w:t xml:space="preserve">feitelijk van aard zijn omdat ze </w:t>
      </w:r>
      <w:r w:rsidR="00501CAD">
        <w:t xml:space="preserve">geen </w:t>
      </w:r>
      <w:r>
        <w:t xml:space="preserve">feiten ontkennen en </w:t>
      </w:r>
      <w:r w:rsidR="00501CAD">
        <w:t xml:space="preserve">geen </w:t>
      </w:r>
      <w:r>
        <w:t>schijnfeiten</w:t>
      </w:r>
      <w:r w:rsidR="00501CAD">
        <w:t xml:space="preserve"> </w:t>
      </w:r>
      <w:r>
        <w:t>erkennen</w:t>
      </w:r>
      <w:r w:rsidR="00501CAD">
        <w:t>,</w:t>
      </w:r>
      <w:r>
        <w:t xml:space="preserve"> </w:t>
      </w:r>
      <w:r w:rsidR="00501CAD">
        <w:t xml:space="preserve">zoals </w:t>
      </w:r>
      <w:r w:rsidRPr="00501CAD">
        <w:rPr>
          <w:i/>
          <w:iCs/>
        </w:rPr>
        <w:t>Ontdekkend Leren Lezen</w:t>
      </w:r>
      <w:r w:rsidR="00501CAD">
        <w:t xml:space="preserve"> (zoek in het artikel op ‘ontdekkend leren lezen’). </w:t>
      </w:r>
    </w:p>
    <w:p w14:paraId="7AA52EDB" w14:textId="77777777" w:rsidR="007433E1" w:rsidRPr="00C1051A" w:rsidRDefault="007433E1"/>
    <w:p w14:paraId="0A1EE845" w14:textId="77777777" w:rsidR="00C1051A" w:rsidRPr="00C1051A" w:rsidRDefault="00C1051A" w:rsidP="00C1051A">
      <w:pPr>
        <w:tabs>
          <w:tab w:val="left" w:pos="284"/>
        </w:tabs>
        <w:ind w:left="284" w:hanging="284"/>
        <w:rPr>
          <w:b/>
          <w:bCs/>
        </w:rPr>
      </w:pPr>
      <w:r w:rsidRPr="00C1051A">
        <w:rPr>
          <w:b/>
          <w:bCs/>
        </w:rPr>
        <w:t>Noot</w:t>
      </w:r>
    </w:p>
    <w:p w14:paraId="489EAB50" w14:textId="0C78E476" w:rsidR="00C1051A" w:rsidRPr="003F460C" w:rsidRDefault="00C1051A" w:rsidP="003F460C">
      <w:pPr>
        <w:tabs>
          <w:tab w:val="left" w:pos="284"/>
        </w:tabs>
        <w:spacing w:line="204" w:lineRule="auto"/>
        <w:ind w:left="284" w:hanging="284"/>
        <w:rPr>
          <w:sz w:val="18"/>
          <w:szCs w:val="18"/>
        </w:rPr>
      </w:pPr>
      <w:r w:rsidRPr="00C1051A">
        <w:rPr>
          <w:sz w:val="18"/>
          <w:szCs w:val="18"/>
        </w:rPr>
        <w:t>1</w:t>
      </w:r>
      <w:r w:rsidRPr="00C1051A">
        <w:rPr>
          <w:sz w:val="18"/>
          <w:szCs w:val="18"/>
        </w:rPr>
        <w:tab/>
        <w:t xml:space="preserve">Fracties van D66, VVD en CDA in de Tweede Kamer, </w:t>
      </w:r>
      <w:hyperlink r:id="rId5" w:history="1">
        <w:r w:rsidRPr="00C1051A">
          <w:rPr>
            <w:rStyle w:val="Hyperlink"/>
            <w:i/>
            <w:iCs/>
            <w:color w:val="auto"/>
            <w:sz w:val="18"/>
            <w:szCs w:val="18"/>
          </w:rPr>
          <w:t>Aan de slag</w:t>
        </w:r>
      </w:hyperlink>
      <w:r w:rsidRPr="00C1051A">
        <w:rPr>
          <w:sz w:val="18"/>
          <w:szCs w:val="18"/>
        </w:rPr>
        <w:t>, 30 januari 2026.</w:t>
      </w:r>
    </w:p>
    <w:sectPr w:rsidR="00C1051A" w:rsidRPr="003F460C"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D8C"/>
    <w:multiLevelType w:val="hybridMultilevel"/>
    <w:tmpl w:val="82AC911E"/>
    <w:lvl w:ilvl="0" w:tplc="16DEA3C6">
      <w:start w:val="5"/>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F2038A"/>
    <w:multiLevelType w:val="hybridMultilevel"/>
    <w:tmpl w:val="612C6600"/>
    <w:lvl w:ilvl="0" w:tplc="B5A05CFA">
      <w:start w:val="5"/>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B0E08AC"/>
    <w:multiLevelType w:val="hybridMultilevel"/>
    <w:tmpl w:val="EACAE682"/>
    <w:lvl w:ilvl="0" w:tplc="0BDC622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821725316">
    <w:abstractNumId w:val="1"/>
  </w:num>
  <w:num w:numId="2" w16cid:durableId="1143934756">
    <w:abstractNumId w:val="0"/>
  </w:num>
  <w:num w:numId="3" w16cid:durableId="828255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F9"/>
    <w:rsid w:val="002A5C94"/>
    <w:rsid w:val="0033453C"/>
    <w:rsid w:val="003C6D64"/>
    <w:rsid w:val="003F460C"/>
    <w:rsid w:val="00455162"/>
    <w:rsid w:val="00501CAD"/>
    <w:rsid w:val="00522DF9"/>
    <w:rsid w:val="0061228A"/>
    <w:rsid w:val="006C6115"/>
    <w:rsid w:val="00726CD1"/>
    <w:rsid w:val="007433E1"/>
    <w:rsid w:val="0077238C"/>
    <w:rsid w:val="007B735C"/>
    <w:rsid w:val="008312ED"/>
    <w:rsid w:val="008B1048"/>
    <w:rsid w:val="00A05F17"/>
    <w:rsid w:val="00A15004"/>
    <w:rsid w:val="00A45939"/>
    <w:rsid w:val="00C1051A"/>
    <w:rsid w:val="00C30C16"/>
    <w:rsid w:val="00E409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0889"/>
  <w15:chartTrackingRefBased/>
  <w15:docId w15:val="{FA1EE1F8-4513-4651-90A2-5B61CC8B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2DF9"/>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character" w:styleId="Hyperlink">
    <w:name w:val="Hyperlink"/>
    <w:basedOn w:val="Standaardalinea-lettertype"/>
    <w:uiPriority w:val="99"/>
    <w:unhideWhenUsed/>
    <w:rsid w:val="00C105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binetsformatie2025.nl/documenten/2026/01/30/aan-de-slag---coalitieakkoord-2026-203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2</cp:revision>
  <dcterms:created xsi:type="dcterms:W3CDTF">2026-04-06T10:53:00Z</dcterms:created>
  <dcterms:modified xsi:type="dcterms:W3CDTF">2026-04-06T10:53:00Z</dcterms:modified>
</cp:coreProperties>
</file>