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3D731" w14:textId="75494CFA" w:rsidR="00DC7AC0" w:rsidRPr="00E62E8B" w:rsidRDefault="00DC7AC0" w:rsidP="00AC61E6">
      <w:pPr>
        <w:tabs>
          <w:tab w:val="left" w:pos="284"/>
        </w:tabs>
        <w:rPr>
          <w:b/>
          <w:bCs/>
          <w:sz w:val="24"/>
          <w:szCs w:val="24"/>
        </w:rPr>
      </w:pPr>
      <w:r w:rsidRPr="00E62E8B">
        <w:rPr>
          <w:b/>
          <w:bCs/>
          <w:sz w:val="24"/>
          <w:szCs w:val="24"/>
        </w:rPr>
        <w:t>Toevoeging aan artikel ‘Leescrisis’: §</w:t>
      </w:r>
      <w:r>
        <w:rPr>
          <w:b/>
          <w:bCs/>
          <w:sz w:val="24"/>
          <w:szCs w:val="24"/>
        </w:rPr>
        <w:t>5</w:t>
      </w:r>
      <w:r w:rsidRPr="00E62E8B">
        <w:rPr>
          <w:b/>
          <w:bCs/>
          <w:sz w:val="24"/>
          <w:szCs w:val="24"/>
        </w:rPr>
        <w:t>.</w:t>
      </w:r>
      <w:r>
        <w:rPr>
          <w:b/>
          <w:bCs/>
          <w:sz w:val="24"/>
          <w:szCs w:val="24"/>
        </w:rPr>
        <w:t>16a</w:t>
      </w:r>
      <w:r w:rsidRPr="00E62E8B">
        <w:rPr>
          <w:b/>
          <w:bCs/>
          <w:sz w:val="24"/>
          <w:szCs w:val="24"/>
        </w:rPr>
        <w:t xml:space="preserve"> (</w:t>
      </w:r>
      <w:r w:rsidR="003A12AD">
        <w:rPr>
          <w:b/>
          <w:bCs/>
          <w:sz w:val="24"/>
          <w:szCs w:val="24"/>
        </w:rPr>
        <w:t>2</w:t>
      </w:r>
      <w:r w:rsidR="007D7FF5">
        <w:rPr>
          <w:b/>
          <w:bCs/>
          <w:sz w:val="24"/>
          <w:szCs w:val="24"/>
        </w:rPr>
        <w:t>0</w:t>
      </w:r>
      <w:r>
        <w:rPr>
          <w:b/>
          <w:bCs/>
          <w:sz w:val="24"/>
          <w:szCs w:val="24"/>
        </w:rPr>
        <w:t xml:space="preserve"> april</w:t>
      </w:r>
      <w:r w:rsidRPr="00E62E8B">
        <w:rPr>
          <w:b/>
          <w:bCs/>
          <w:sz w:val="24"/>
          <w:szCs w:val="24"/>
        </w:rPr>
        <w:t xml:space="preserve"> 2026)</w:t>
      </w:r>
    </w:p>
    <w:p w14:paraId="05031ABE" w14:textId="77777777" w:rsidR="00DC7AC0" w:rsidRDefault="00DC7AC0" w:rsidP="00AC61E6">
      <w:pPr>
        <w:tabs>
          <w:tab w:val="left" w:pos="284"/>
        </w:tabs>
      </w:pPr>
    </w:p>
    <w:p w14:paraId="63259761" w14:textId="32D52582" w:rsidR="00DC7AC0" w:rsidRPr="00E62E8B" w:rsidRDefault="00DC7AC0" w:rsidP="00AC61E6">
      <w:pPr>
        <w:tabs>
          <w:tab w:val="left" w:pos="284"/>
        </w:tabs>
        <w:rPr>
          <w:b/>
          <w:bCs/>
        </w:rPr>
      </w:pPr>
      <w:r>
        <w:rPr>
          <w:b/>
          <w:bCs/>
        </w:rPr>
        <w:t>5</w:t>
      </w:r>
      <w:r w:rsidRPr="00E62E8B">
        <w:rPr>
          <w:b/>
          <w:bCs/>
        </w:rPr>
        <w:t>.</w:t>
      </w:r>
      <w:r w:rsidRPr="00AA726A">
        <w:rPr>
          <w:b/>
          <w:bCs/>
        </w:rPr>
        <w:t xml:space="preserve">16a  </w:t>
      </w:r>
      <w:r w:rsidR="00AC61E6" w:rsidRPr="00AA726A">
        <w:rPr>
          <w:b/>
          <w:bCs/>
        </w:rPr>
        <w:t>‘Empiristisch’ waar ‘empirisch’ staat</w:t>
      </w:r>
      <w:r w:rsidRPr="00AA726A">
        <w:rPr>
          <w:b/>
          <w:bCs/>
        </w:rPr>
        <w:t xml:space="preserve"> (2020</w:t>
      </w:r>
      <w:r w:rsidRPr="00E62E8B">
        <w:rPr>
          <w:b/>
          <w:bCs/>
        </w:rPr>
        <w:t>)</w:t>
      </w:r>
    </w:p>
    <w:p w14:paraId="342D5275" w14:textId="77777777" w:rsidR="00DC7AC0" w:rsidRDefault="00DC7AC0" w:rsidP="00AC61E6">
      <w:pPr>
        <w:tabs>
          <w:tab w:val="left" w:pos="284"/>
        </w:tabs>
      </w:pPr>
    </w:p>
    <w:p w14:paraId="49C133C3" w14:textId="77777777" w:rsidR="00DC7AC0" w:rsidRDefault="00DC7AC0" w:rsidP="00AC61E6">
      <w:pPr>
        <w:tabs>
          <w:tab w:val="left" w:pos="284"/>
        </w:tabs>
      </w:pPr>
      <w:r w:rsidRPr="00CD1088">
        <w:rPr>
          <w:i/>
          <w:iCs/>
        </w:rPr>
        <w:t>Inleiding</w:t>
      </w:r>
      <w:r>
        <w:t xml:space="preserve">  </w:t>
      </w:r>
    </w:p>
    <w:p w14:paraId="5E7B0DB3" w14:textId="77777777" w:rsidR="00B70304" w:rsidRDefault="00DC7AC0" w:rsidP="00AC61E6">
      <w:pPr>
        <w:tabs>
          <w:tab w:val="left" w:pos="284"/>
        </w:tabs>
      </w:pPr>
      <w:r>
        <w:t xml:space="preserve">Zie de inleiding van de </w:t>
      </w:r>
      <w:hyperlink r:id="rId5" w:history="1">
        <w:r w:rsidRPr="00B70304">
          <w:rPr>
            <w:rStyle w:val="Hyperlink"/>
          </w:rPr>
          <w:t>toevoeging §4.18a</w:t>
        </w:r>
      </w:hyperlink>
      <w:r>
        <w:t>.</w:t>
      </w:r>
    </w:p>
    <w:p w14:paraId="1D1EF67E" w14:textId="77777777" w:rsidR="00EF3DE6" w:rsidRDefault="00AC61E6" w:rsidP="00AC61E6">
      <w:pPr>
        <w:tabs>
          <w:tab w:val="left" w:pos="284"/>
        </w:tabs>
      </w:pPr>
      <w:r>
        <w:rPr>
          <w:color w:val="EE0000"/>
        </w:rPr>
        <w:tab/>
      </w:r>
      <w:r w:rsidRPr="00AC61E6">
        <w:t>In d</w:t>
      </w:r>
      <w:r>
        <w:t xml:space="preserve">ie paragraaf wordt in de noten 1, 2 en 4 naar </w:t>
      </w:r>
      <w:r w:rsidRPr="00AC61E6">
        <w:t xml:space="preserve">KR-stukken </w:t>
      </w:r>
      <w:r>
        <w:t xml:space="preserve">verwezen. In het eerste komt het woord ‘empirisch’ viermaal voor, in het tweede tweemaal en in het derde vijfmaal. </w:t>
      </w:r>
      <w:r w:rsidR="002D0CD1">
        <w:t>Elke keer staat het juist níét voor ‘empirisch’ maar voor ‘empiristisch’</w:t>
      </w:r>
      <w:r w:rsidR="00EF3DE6">
        <w:t xml:space="preserve"> – in de zin van het artikel, §3.8</w:t>
      </w:r>
      <w:r w:rsidR="002D0CD1">
        <w:t xml:space="preserve">. </w:t>
      </w:r>
    </w:p>
    <w:p w14:paraId="1DBFE318" w14:textId="11051819" w:rsidR="002D0CD1" w:rsidRDefault="00EF3DE6" w:rsidP="00AC61E6">
      <w:pPr>
        <w:tabs>
          <w:tab w:val="left" w:pos="284"/>
        </w:tabs>
      </w:pPr>
      <w:r>
        <w:tab/>
        <w:t xml:space="preserve">Aan de hand van het derde stuk </w:t>
      </w:r>
      <w:r w:rsidR="002D0CD1">
        <w:t xml:space="preserve">sta </w:t>
      </w:r>
      <w:r>
        <w:t xml:space="preserve">ik </w:t>
      </w:r>
      <w:r w:rsidR="002D0CD1">
        <w:t>bij twee van die elf keren stil.</w:t>
      </w:r>
    </w:p>
    <w:p w14:paraId="43CEF0F7" w14:textId="77777777" w:rsidR="002D0CD1" w:rsidRDefault="002D0CD1" w:rsidP="00AC61E6">
      <w:pPr>
        <w:tabs>
          <w:tab w:val="left" w:pos="284"/>
        </w:tabs>
      </w:pPr>
    </w:p>
    <w:p w14:paraId="799FA5D3" w14:textId="51337465" w:rsidR="002D0CD1" w:rsidRDefault="002D0CD1" w:rsidP="00AC61E6">
      <w:pPr>
        <w:tabs>
          <w:tab w:val="left" w:pos="284"/>
        </w:tabs>
      </w:pPr>
      <w:r>
        <w:t xml:space="preserve">Derde stuk: </w:t>
      </w:r>
    </w:p>
    <w:p w14:paraId="53373A7A" w14:textId="540331DC" w:rsidR="00321185" w:rsidRDefault="002D0CD1" w:rsidP="002D0CD1">
      <w:pPr>
        <w:pStyle w:val="Lijstalinea"/>
        <w:numPr>
          <w:ilvl w:val="0"/>
          <w:numId w:val="1"/>
        </w:numPr>
        <w:tabs>
          <w:tab w:val="left" w:pos="284"/>
        </w:tabs>
        <w:ind w:left="284" w:hanging="284"/>
      </w:pPr>
      <w:r>
        <w:t>‘</w:t>
      </w:r>
      <w:r w:rsidRPr="002D0CD1">
        <w:t xml:space="preserve">Er zijn geen empirische studies met een experimentele opzet die onderbouwen dat je het beste pas begint met leren lezen als de leerling </w:t>
      </w:r>
      <w:r>
        <w:t>“</w:t>
      </w:r>
      <w:r w:rsidRPr="002D0CD1">
        <w:t>leesrijp</w:t>
      </w:r>
      <w:r>
        <w:t>”</w:t>
      </w:r>
      <w:r w:rsidRPr="002D0CD1">
        <w:t xml:space="preserve"> is</w:t>
      </w:r>
      <w:r>
        <w:t>’ en</w:t>
      </w:r>
    </w:p>
    <w:p w14:paraId="1102C119" w14:textId="273195D7" w:rsidR="00321185" w:rsidRDefault="00321185" w:rsidP="002D0CD1">
      <w:pPr>
        <w:pStyle w:val="Lijstalinea"/>
        <w:numPr>
          <w:ilvl w:val="0"/>
          <w:numId w:val="1"/>
        </w:numPr>
        <w:tabs>
          <w:tab w:val="left" w:pos="284"/>
        </w:tabs>
        <w:ind w:left="284" w:hanging="284"/>
      </w:pPr>
      <w:r w:rsidRPr="00E70375">
        <w:t>‘</w:t>
      </w:r>
      <w:r w:rsidR="00E70375">
        <w:t>E</w:t>
      </w:r>
      <w:r w:rsidRPr="00E70375">
        <w:t xml:space="preserve">r is geen experimenteel onderzoek bekend waarin zowel kleuters die </w:t>
      </w:r>
      <w:r w:rsidR="002D0CD1">
        <w:t>“</w:t>
      </w:r>
      <w:r w:rsidRPr="00E70375">
        <w:t>leesrijp</w:t>
      </w:r>
      <w:r w:rsidR="002D0CD1">
        <w:t>”</w:t>
      </w:r>
      <w:r w:rsidRPr="00E70375">
        <w:t xml:space="preserve"> zijn en kleuters die nog niet “leesrijp” zijn, leesinstructie krijgen en vervolgens verschillen in leesvaardigheid tussen beide groepen met elkaar zijn vergeleken</w:t>
      </w:r>
      <w:r w:rsidR="00DD2FFD">
        <w:t>’</w:t>
      </w:r>
      <w:r w:rsidRPr="00E70375">
        <w:t>.</w:t>
      </w:r>
    </w:p>
    <w:p w14:paraId="566D6C7D" w14:textId="10309D8F" w:rsidR="00AE3D48" w:rsidRPr="00AA726A" w:rsidRDefault="00710096" w:rsidP="00AC61E6">
      <w:pPr>
        <w:tabs>
          <w:tab w:val="left" w:pos="284"/>
        </w:tabs>
      </w:pPr>
      <w:r>
        <w:tab/>
        <w:t xml:space="preserve">In het woord ‘experimenteel’ komt de empir(ist)ische aap uit de mouw. Dat wil zeggen, men zou twee groepen kleuters hebben kunnen nemen en die leesinstructie geven en dan kijken wat het verschil in leesvaardigheid zou zijn. </w:t>
      </w:r>
    </w:p>
    <w:p w14:paraId="488F1266" w14:textId="77777777" w:rsidR="00AE3D48" w:rsidRPr="00AE3D48" w:rsidRDefault="00AE3D48" w:rsidP="00AC61E6">
      <w:pPr>
        <w:tabs>
          <w:tab w:val="left" w:pos="284"/>
        </w:tabs>
        <w:rPr>
          <w:color w:val="00B050"/>
        </w:rPr>
      </w:pPr>
    </w:p>
    <w:p w14:paraId="3966B896" w14:textId="7709D931" w:rsidR="00710096" w:rsidRDefault="00710096" w:rsidP="00AC61E6">
      <w:pPr>
        <w:tabs>
          <w:tab w:val="left" w:pos="284"/>
        </w:tabs>
      </w:pPr>
      <w:r w:rsidRPr="00710096">
        <w:rPr>
          <w:i/>
          <w:iCs/>
        </w:rPr>
        <w:t>Bespreking</w:t>
      </w:r>
      <w:r>
        <w:t xml:space="preserve">  </w:t>
      </w:r>
    </w:p>
    <w:p w14:paraId="37494952" w14:textId="2616BF3F" w:rsidR="00710096" w:rsidRDefault="00710096" w:rsidP="00710096">
      <w:pPr>
        <w:tabs>
          <w:tab w:val="left" w:pos="284"/>
        </w:tabs>
      </w:pPr>
      <w:r>
        <w:t xml:space="preserve">De afgelopen iets meer dan vier jaar zouden KR en/of het Expertisecentrum Nederlands </w:t>
      </w:r>
      <w:r w:rsidR="008462F8">
        <w:t>en/</w:t>
      </w:r>
      <w:r>
        <w:t>of e</w:t>
      </w:r>
      <w:r w:rsidR="008462F8">
        <w:t>e</w:t>
      </w:r>
      <w:r>
        <w:t xml:space="preserve">n universitaire vakgroep die zich met lezen bezighoudt, </w:t>
      </w:r>
      <w:r w:rsidR="008462F8">
        <w:t xml:space="preserve">dat experiment </w:t>
      </w:r>
      <w:r>
        <w:t xml:space="preserve">hebben kunnen doen. Dat zou dan niet zomaar een experiment zijn maar een beslissend experiment, een </w:t>
      </w:r>
      <w:r w:rsidRPr="00710096">
        <w:rPr>
          <w:i/>
          <w:iCs/>
        </w:rPr>
        <w:t>experimentum crusis</w:t>
      </w:r>
      <w:r>
        <w:t xml:space="preserve"> zoals het in vaktermen heet</w:t>
      </w:r>
      <w:r w:rsidR="008462F8">
        <w:t xml:space="preserve">. Dat </w:t>
      </w:r>
      <w:r>
        <w:t>heeft men</w:t>
      </w:r>
      <w:r w:rsidR="00EF3DE6">
        <w:t xml:space="preserve"> helaas </w:t>
      </w:r>
      <w:r>
        <w:t>niet gedaan</w:t>
      </w:r>
      <w:r w:rsidR="00EF3DE6">
        <w:t xml:space="preserve">. Ik vraag me af of dat is omdat men </w:t>
      </w:r>
      <w:r w:rsidR="008462F8">
        <w:t xml:space="preserve">aan zijn water </w:t>
      </w:r>
      <w:r w:rsidR="00EF3DE6">
        <w:t xml:space="preserve">voelt </w:t>
      </w:r>
      <w:r w:rsidR="008462F8">
        <w:t>dat leesles aan niet-leesrijpe kinderen veel minder werking zal hebben dan aan leesrijpe kinderen, precies iedereen op zijn klompen aanvoelt dat het melken van koeien die niet hebben gekalfd minder melk (eigenlijk helemaal geen melk) zal opleveren dat het melken van koeien die wel hebben gekalfd…</w:t>
      </w:r>
      <w:r>
        <w:t xml:space="preserve"> </w:t>
      </w:r>
    </w:p>
    <w:p w14:paraId="4DBBC7D1" w14:textId="177BE670" w:rsidR="00B70304" w:rsidRDefault="00B70304" w:rsidP="00710096">
      <w:pPr>
        <w:tabs>
          <w:tab w:val="left" w:pos="284"/>
        </w:tabs>
      </w:pPr>
      <w:r>
        <w:tab/>
      </w:r>
      <w:r w:rsidR="00710096">
        <w:t xml:space="preserve">Ik durf </w:t>
      </w:r>
      <w:r>
        <w:t xml:space="preserve">het wel aan om wat over </w:t>
      </w:r>
      <w:r w:rsidR="00906C7B">
        <w:t>d</w:t>
      </w:r>
      <w:r>
        <w:t xml:space="preserve">at beslissende experiment </w:t>
      </w:r>
      <w:r w:rsidR="00906C7B">
        <w:t xml:space="preserve">en zijn uitkomst </w:t>
      </w:r>
      <w:r w:rsidR="006B4940">
        <w:t xml:space="preserve">het volgende </w:t>
      </w:r>
      <w:r w:rsidR="00710096">
        <w:t xml:space="preserve">te </w:t>
      </w:r>
      <w:r>
        <w:t>zegge</w:t>
      </w:r>
      <w:r w:rsidR="00710096">
        <w:t>n</w:t>
      </w:r>
      <w:r>
        <w:t xml:space="preserve">. </w:t>
      </w:r>
    </w:p>
    <w:p w14:paraId="5E3BF5F0" w14:textId="2FB71FD0" w:rsidR="00E70375" w:rsidRDefault="006B4940" w:rsidP="006B4940">
      <w:pPr>
        <w:tabs>
          <w:tab w:val="left" w:pos="284"/>
        </w:tabs>
      </w:pPr>
      <w:r>
        <w:tab/>
      </w:r>
      <w:r w:rsidR="004E0928">
        <w:t>a</w:t>
      </w:r>
      <w:r>
        <w:t>. L</w:t>
      </w:r>
      <w:r w:rsidR="00B70304">
        <w:t>eesrijpe kleuter</w:t>
      </w:r>
      <w:r w:rsidR="008462F8">
        <w:t>s</w:t>
      </w:r>
      <w:r w:rsidR="00B70304">
        <w:t xml:space="preserve"> bestaan niet als men ‘kleuter’ opvat als ‘kind dat op een bepaald ontwikkelingsdomein, hier het leesdomein, met eenzijdige abstract-logische verbanden functioneert’</w:t>
      </w:r>
      <w:r w:rsidR="008462F8">
        <w:t xml:space="preserve"> (§4.18a, punt A, betekenis 3)</w:t>
      </w:r>
      <w:r w:rsidR="00B70304">
        <w:t xml:space="preserve">. Immers, </w:t>
      </w:r>
      <w:r w:rsidR="00EF3DE6">
        <w:t xml:space="preserve">als </w:t>
      </w:r>
      <w:r>
        <w:t xml:space="preserve">kleuter </w:t>
      </w:r>
      <w:r w:rsidR="00EF3DE6">
        <w:t xml:space="preserve">zal </w:t>
      </w:r>
      <w:r w:rsidR="00B70304">
        <w:t>Linde, uit §4.18a, PIL lezen als ‘P, i, l’ (louter hakken) of als ‘P, i, l; spel’ (hakken-en-gissen)</w:t>
      </w:r>
      <w:r w:rsidR="008462F8">
        <w:t xml:space="preserve"> en misschien wel een paar letters en/of woordjes oppikken uit de leesinstructie, maar daarom nog niet kunnen lezen – tenzij ze tussen het begin en het slot van het experiment leesrijp is geworden</w:t>
      </w:r>
      <w:r>
        <w:t xml:space="preserve">. Dat </w:t>
      </w:r>
      <w:r w:rsidR="00EF3DE6">
        <w:t xml:space="preserve">ondertussen </w:t>
      </w:r>
      <w:r>
        <w:t>leesrijp worden zal te zien zijn in wat ze van die instructie oppikt, namelijk in de loop van de dagen/weken steeds meer letters, woorden en zinnetjes</w:t>
      </w:r>
      <w:r w:rsidR="008462F8">
        <w:t>.</w:t>
      </w:r>
    </w:p>
    <w:p w14:paraId="51E0A481" w14:textId="125D8C6F" w:rsidR="008462F8" w:rsidRDefault="008462F8" w:rsidP="00710096">
      <w:pPr>
        <w:tabs>
          <w:tab w:val="left" w:pos="284"/>
        </w:tabs>
      </w:pPr>
      <w:r>
        <w:tab/>
      </w:r>
      <w:r w:rsidR="004E0928">
        <w:t>b</w:t>
      </w:r>
      <w:r w:rsidR="006B4940">
        <w:t>. L</w:t>
      </w:r>
      <w:r>
        <w:t>eesrijpe kleuters bestaan wel als men ‘kleuter’ opvat als een kind in groep 1 of 2 of als een kind tussen 4;6 en 6;6 (§4.18a, punt A, betekenissen 1 en 2)</w:t>
      </w:r>
      <w:r w:rsidR="00EF3DE6">
        <w:t xml:space="preserve"> en kan lezen</w:t>
      </w:r>
      <w:r>
        <w:t xml:space="preserve">. Zulke kinderen zijn op het leesdomein jonge schoolkinderen. </w:t>
      </w:r>
    </w:p>
    <w:p w14:paraId="31503934" w14:textId="3CA73E0D" w:rsidR="008462F8" w:rsidRDefault="008462F8" w:rsidP="00710096">
      <w:pPr>
        <w:tabs>
          <w:tab w:val="left" w:pos="284"/>
        </w:tabs>
      </w:pPr>
      <w:r>
        <w:tab/>
      </w:r>
      <w:r w:rsidR="004E0928">
        <w:t>c</w:t>
      </w:r>
      <w:r w:rsidR="006B4940">
        <w:t xml:space="preserve">. </w:t>
      </w:r>
      <w:r w:rsidR="00EF3DE6">
        <w:t>Vanwege de punten a en b dient h</w:t>
      </w:r>
      <w:r>
        <w:t>et experiment met leesrijpe en niet-leesrijpe kinderen gedaan te worden – kinderen die op het leesdomein in psychologisch opzicht als jong schoolkind respectievelijk als kleuter functioneren</w:t>
      </w:r>
      <w:r w:rsidR="006B4940">
        <w:t>, ongeacht hun schoolgroep en ongeacht hun kalenderleeftijd</w:t>
      </w:r>
      <w:r>
        <w:t xml:space="preserve">. </w:t>
      </w:r>
      <w:r w:rsidR="006B4940">
        <w:t xml:space="preserve">In de lijn van het gestelde in punt </w:t>
      </w:r>
      <w:r w:rsidR="004E0928">
        <w:t>a</w:t>
      </w:r>
      <w:r w:rsidR="006B4940">
        <w:t xml:space="preserve"> voorspel ik dat de eerste groep tijdens de leesonderwijsperiode steeds meer letters zal kennen en steeds meer woorden en zinnetjes zal kunnen lezen, en wel </w:t>
      </w:r>
      <w:proofErr w:type="gramStart"/>
      <w:r w:rsidR="006B4940">
        <w:t>beduidend</w:t>
      </w:r>
      <w:proofErr w:type="gramEnd"/>
      <w:r w:rsidR="006B4940">
        <w:t xml:space="preserve"> veel meer dan de tweede groep </w:t>
      </w:r>
      <w:r w:rsidR="00EF3DE6">
        <w:t xml:space="preserve">waarvan de kinderen </w:t>
      </w:r>
      <w:r w:rsidR="006B4940">
        <w:t>wel wat zullen oppikken omdat ze een en ander van buiten hebben geleerd</w:t>
      </w:r>
      <w:r w:rsidR="00EF3DE6">
        <w:t xml:space="preserve">. Ze zullen het opgepikte echter niet </w:t>
      </w:r>
      <w:r w:rsidR="006B4940">
        <w:t xml:space="preserve">vrij kunnen toepassen. </w:t>
      </w:r>
      <w:r w:rsidR="00C33F1E">
        <w:t>Zo zal e</w:t>
      </w:r>
      <w:r w:rsidR="006B4940">
        <w:t xml:space="preserve">en kind in de tweede groep dat </w:t>
      </w:r>
      <w:r w:rsidR="00C33F1E">
        <w:t xml:space="preserve">op BAL /bal/, op KIN /kin/ en op </w:t>
      </w:r>
      <w:r w:rsidR="006B4940">
        <w:t>PAK /pak/</w:t>
      </w:r>
      <w:r w:rsidR="00C33F1E">
        <w:t xml:space="preserve"> heeft leren zeggen, een geheel nieuw woord als LIP niet kunnen lezen.</w:t>
      </w:r>
      <w:r w:rsidR="006B4940">
        <w:t xml:space="preserve"> </w:t>
      </w:r>
    </w:p>
    <w:p w14:paraId="7D9FD000" w14:textId="616C9209" w:rsidR="00C33F1E" w:rsidRDefault="008462F8" w:rsidP="00710096">
      <w:pPr>
        <w:tabs>
          <w:tab w:val="left" w:pos="284"/>
        </w:tabs>
      </w:pPr>
      <w:r>
        <w:tab/>
      </w:r>
      <w:r w:rsidR="004E0928">
        <w:t>d</w:t>
      </w:r>
      <w:r w:rsidR="006B4940">
        <w:t>. H</w:t>
      </w:r>
      <w:r w:rsidR="006C78C5">
        <w:t>et experiment wijkt in een belangrijk opzicht af van de gangbare opzet met een experimentele (E) en een controlegroep (C). Daarin zijn beide groepen in beginsel gelijk (bijvoorbeeld allemaal niet-leesrijpe kinderen) en krijgt de E-groep een bepaalde</w:t>
      </w:r>
      <w:r w:rsidR="00A776F9">
        <w:t xml:space="preserve"> training</w:t>
      </w:r>
      <w:r w:rsidR="006C78C5">
        <w:t xml:space="preserve"> (bijvoorbeeld lees</w:t>
      </w:r>
      <w:r w:rsidR="00C33F1E">
        <w:t>instructie</w:t>
      </w:r>
      <w:r w:rsidR="006C78C5">
        <w:t xml:space="preserve">) en de C-groep niet. </w:t>
      </w:r>
      <w:r w:rsidR="00C33F1E">
        <w:t xml:space="preserve">Tegen zulke experimenten zijn ten minste zeven bezwaren; zie het artikel, §A1.2. Ik </w:t>
      </w:r>
      <w:r w:rsidR="00EF3DE6">
        <w:t>st</w:t>
      </w:r>
      <w:r w:rsidR="00C33F1E">
        <w:t xml:space="preserve">a nu slechts </w:t>
      </w:r>
      <w:r w:rsidR="00EF3DE6">
        <w:t xml:space="preserve">bij </w:t>
      </w:r>
      <w:r w:rsidR="00C33F1E">
        <w:t xml:space="preserve">twee </w:t>
      </w:r>
      <w:r w:rsidR="00EF3DE6">
        <w:t>bezwar</w:t>
      </w:r>
      <w:r w:rsidR="00C33F1E">
        <w:t xml:space="preserve">en </w:t>
      </w:r>
      <w:r w:rsidR="00EF3DE6">
        <w:t>stil</w:t>
      </w:r>
      <w:r w:rsidR="00C33F1E">
        <w:t>:</w:t>
      </w:r>
    </w:p>
    <w:p w14:paraId="12F4DDA8" w14:textId="77777777" w:rsidR="00EF3DE6" w:rsidRDefault="00C33F1E" w:rsidP="00710096">
      <w:pPr>
        <w:tabs>
          <w:tab w:val="left" w:pos="284"/>
        </w:tabs>
      </w:pPr>
      <w:r>
        <w:tab/>
      </w:r>
      <w:r w:rsidR="004E0928">
        <w:t>d</w:t>
      </w:r>
      <w:r w:rsidRPr="00C33F1E">
        <w:rPr>
          <w:vertAlign w:val="subscript"/>
        </w:rPr>
        <w:t>1</w:t>
      </w:r>
      <w:r>
        <w:t xml:space="preserve">. In zo’n experiment haalt men twee paradigma’s door elkaar: </w:t>
      </w:r>
    </w:p>
    <w:p w14:paraId="40A88EB3" w14:textId="77777777" w:rsidR="00EF3DE6" w:rsidRDefault="00A776F9" w:rsidP="00EF3DE6">
      <w:pPr>
        <w:pStyle w:val="Lijstalinea"/>
        <w:numPr>
          <w:ilvl w:val="0"/>
          <w:numId w:val="1"/>
        </w:numPr>
        <w:tabs>
          <w:tab w:val="left" w:pos="284"/>
        </w:tabs>
        <w:ind w:left="284" w:hanging="284"/>
      </w:pPr>
      <w:r>
        <w:t xml:space="preserve">het psychologische </w:t>
      </w:r>
      <w:r w:rsidR="00C33F1E">
        <w:t>constructivisme dat onderzoekt hoe kinderen van binnenuit kennis over de buitenwereld construeren door met die buitenwereld in wisselwerking te verkeren</w:t>
      </w:r>
      <w:r w:rsidR="00EF3DE6">
        <w:t>,</w:t>
      </w:r>
      <w:r w:rsidR="00C33F1E">
        <w:t xml:space="preserve"> en </w:t>
      </w:r>
    </w:p>
    <w:p w14:paraId="6850F119" w14:textId="77777777" w:rsidR="00EF3DE6" w:rsidRDefault="00C33F1E" w:rsidP="00EF3DE6">
      <w:pPr>
        <w:pStyle w:val="Lijstalinea"/>
        <w:numPr>
          <w:ilvl w:val="0"/>
          <w:numId w:val="1"/>
        </w:numPr>
        <w:tabs>
          <w:tab w:val="left" w:pos="284"/>
        </w:tabs>
        <w:ind w:left="284" w:hanging="284"/>
      </w:pPr>
      <w:r>
        <w:t>de conditioneringspsychologie d</w:t>
      </w:r>
      <w:r w:rsidR="00EF3DE6">
        <w:t>ie</w:t>
      </w:r>
      <w:r>
        <w:t xml:space="preserve"> stelt dat kennis van buiten komt en dat kinderen daar – ongeacht hun psychologische ontwikkelingsnivo, dat toch niet zou bestaan – toe geconditioneerd kunnen worden. </w:t>
      </w:r>
    </w:p>
    <w:p w14:paraId="578DEA0D" w14:textId="1B0DA5A8" w:rsidR="008462F8" w:rsidRDefault="00EF3DE6" w:rsidP="00EF3DE6">
      <w:pPr>
        <w:tabs>
          <w:tab w:val="left" w:pos="284"/>
        </w:tabs>
      </w:pPr>
      <w:r>
        <w:tab/>
      </w:r>
      <w:r w:rsidR="00C33F1E">
        <w:t xml:space="preserve">Anders gezegd, </w:t>
      </w:r>
      <w:r w:rsidR="00A776F9">
        <w:t>terwijl het tweede paradigma uitgaat van het ‘S → R’-model (stimulus S en respons R), gaat het eerste uit van het ‘S → O → R’-model (met het zich ontwikkelende organisme O</w:t>
      </w:r>
      <w:r>
        <w:t xml:space="preserve"> dat op de prikkels van S en op de spieren en botten in verband met R psychologisch opereert</w:t>
      </w:r>
      <w:r w:rsidR="00A776F9">
        <w:t xml:space="preserve">). </w:t>
      </w:r>
    </w:p>
    <w:p w14:paraId="583CA8FF" w14:textId="65A63B4A" w:rsidR="00B70304" w:rsidRDefault="00A776F9" w:rsidP="00710096">
      <w:pPr>
        <w:tabs>
          <w:tab w:val="left" w:pos="284"/>
        </w:tabs>
      </w:pPr>
      <w:r>
        <w:tab/>
      </w:r>
      <w:r w:rsidR="004E0928">
        <w:t>d</w:t>
      </w:r>
      <w:r w:rsidRPr="00A776F9">
        <w:rPr>
          <w:vertAlign w:val="subscript"/>
        </w:rPr>
        <w:t>2</w:t>
      </w:r>
      <w:r>
        <w:t xml:space="preserve">. Een trainingsexperiment heeft een hoog ‘nogal wiedes’-karakter. Immers, tijdens de training heeft de E-groep bepaalde informatie </w:t>
      </w:r>
      <w:r w:rsidR="000844BC">
        <w:t>aangeboden gekregen,</w:t>
      </w:r>
      <w:r>
        <w:t xml:space="preserve"> die de C-groep niet heeft gehad. Zelfs als de kinderen in beide groepen die </w:t>
      </w:r>
      <w:r w:rsidR="000844BC">
        <w:t xml:space="preserve">informatie </w:t>
      </w:r>
      <w:r>
        <w:t>gezien hun ontwikkelingsnivo in zich zouden kunnen opnemen, dan is het nogal wiedes dat de E-groep na de training meer informatie zal hebben da</w:t>
      </w:r>
      <w:r w:rsidR="000844BC">
        <w:t>n</w:t>
      </w:r>
      <w:r>
        <w:t xml:space="preserve"> de C-groep. Daaruit mag men echter niet – wat trainers wel altijd doen – besluiten dat de training dermate succesrijk was dat de conditioneringspsychologie sterker is komen te staan en het psychologische constructivisme </w:t>
      </w:r>
      <w:r w:rsidR="000844BC">
        <w:t>zwakker</w:t>
      </w:r>
      <w:r>
        <w:t>. In een trainingsexperiment onderzoekt men immers per definitie niet hoe de kinderen in de E- en C-groepen de getrainde leerstof zelf wel of niet zouden hebben geconstrueerd als ze daartoe de gelegenheid gehad zouden hebben. En die hebben ze in een trainingsexperiment per definitie niet gehad.</w:t>
      </w:r>
    </w:p>
    <w:p w14:paraId="0D81858D" w14:textId="4603B87E" w:rsidR="004E0928" w:rsidRDefault="004E0928" w:rsidP="00710096">
      <w:pPr>
        <w:tabs>
          <w:tab w:val="left" w:pos="284"/>
        </w:tabs>
      </w:pPr>
      <w:r>
        <w:lastRenderedPageBreak/>
        <w:tab/>
        <w:t>Kortom, ik stel de schrijfsters van het KR-artikel voor om met elkaar te bevorderen dat er een beslissend experiment komt, met de herduiding die ik in punt c doe.</w:t>
      </w:r>
      <w:r w:rsidR="000844BC">
        <w:t xml:space="preserve"> Ik zie zo’n experiment graag tegemoet en voorspel de uitkomst: de niet-leesrijpe kinderen zullen weinig tot niets aan de leesinstructie hebben en de leesrijpe kinderen veel, zelfs zoveel dat ze de leerstof ook zouden kunnen ontdekken als ze geschikt ontdekkingsmateriaal zouden krijgen.</w:t>
      </w:r>
    </w:p>
    <w:sectPr w:rsidR="004E0928" w:rsidSect="00455162">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46636"/>
    <w:multiLevelType w:val="hybridMultilevel"/>
    <w:tmpl w:val="CE88B630"/>
    <w:lvl w:ilvl="0" w:tplc="CB7AA928">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1" w15:restartNumberingAfterBreak="0">
    <w:nsid w:val="53912109"/>
    <w:multiLevelType w:val="hybridMultilevel"/>
    <w:tmpl w:val="0F64CFD2"/>
    <w:lvl w:ilvl="0" w:tplc="8F74D72A">
      <w:start w:val="1"/>
      <w:numFmt w:val="lowerLetter"/>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2" w15:restartNumberingAfterBreak="0">
    <w:nsid w:val="709D0D37"/>
    <w:multiLevelType w:val="hybridMultilevel"/>
    <w:tmpl w:val="FA46D476"/>
    <w:lvl w:ilvl="0" w:tplc="B1D0FAB8">
      <w:start w:val="5"/>
      <w:numFmt w:val="bullet"/>
      <w:lvlText w:val=""/>
      <w:lvlJc w:val="left"/>
      <w:pPr>
        <w:ind w:left="720" w:hanging="360"/>
      </w:pPr>
      <w:rPr>
        <w:rFonts w:ascii="Symbol" w:eastAsiaTheme="minorHAnsi"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52136432">
    <w:abstractNumId w:val="2"/>
  </w:num>
  <w:num w:numId="2" w16cid:durableId="166599135">
    <w:abstractNumId w:val="1"/>
  </w:num>
  <w:num w:numId="3" w16cid:durableId="1377461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AC0"/>
    <w:rsid w:val="000771EC"/>
    <w:rsid w:val="000844BC"/>
    <w:rsid w:val="001572B2"/>
    <w:rsid w:val="002A5C94"/>
    <w:rsid w:val="002D0CD1"/>
    <w:rsid w:val="00321185"/>
    <w:rsid w:val="003A12AD"/>
    <w:rsid w:val="00455162"/>
    <w:rsid w:val="00483F3A"/>
    <w:rsid w:val="004E0928"/>
    <w:rsid w:val="005220AE"/>
    <w:rsid w:val="006B4940"/>
    <w:rsid w:val="006C6115"/>
    <w:rsid w:val="006C78C5"/>
    <w:rsid w:val="00710096"/>
    <w:rsid w:val="00726CD1"/>
    <w:rsid w:val="007433E1"/>
    <w:rsid w:val="0077238C"/>
    <w:rsid w:val="007B735C"/>
    <w:rsid w:val="007D7FF5"/>
    <w:rsid w:val="008462F8"/>
    <w:rsid w:val="008B1048"/>
    <w:rsid w:val="00906C7B"/>
    <w:rsid w:val="00A15004"/>
    <w:rsid w:val="00A45939"/>
    <w:rsid w:val="00A776F9"/>
    <w:rsid w:val="00AA726A"/>
    <w:rsid w:val="00AC0D6A"/>
    <w:rsid w:val="00AC61E6"/>
    <w:rsid w:val="00AE3D48"/>
    <w:rsid w:val="00B70304"/>
    <w:rsid w:val="00C33F1E"/>
    <w:rsid w:val="00DC7AC0"/>
    <w:rsid w:val="00DD2FFD"/>
    <w:rsid w:val="00E70375"/>
    <w:rsid w:val="00EA52BF"/>
    <w:rsid w:val="00EF3D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58AC"/>
  <w15:chartTrackingRefBased/>
  <w15:docId w15:val="{28BDE53D-7601-41CE-A235-1101E46C8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7AC0"/>
  </w:style>
  <w:style w:type="paragraph" w:styleId="Kop1">
    <w:name w:val="heading 1"/>
    <w:basedOn w:val="Standaard"/>
    <w:next w:val="Standaard"/>
    <w:link w:val="Kop1Char"/>
    <w:uiPriority w:val="9"/>
    <w:qFormat/>
    <w:rsid w:val="006C61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61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61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61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61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611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611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611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611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61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61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61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61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61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61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61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61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6115"/>
    <w:rPr>
      <w:rFonts w:eastAsiaTheme="majorEastAsia" w:cstheme="majorBidi"/>
      <w:color w:val="272727" w:themeColor="text1" w:themeTint="D8"/>
    </w:rPr>
  </w:style>
  <w:style w:type="paragraph" w:styleId="Titel">
    <w:name w:val="Title"/>
    <w:basedOn w:val="Standaard"/>
    <w:next w:val="Standaard"/>
    <w:link w:val="TitelChar"/>
    <w:uiPriority w:val="10"/>
    <w:qFormat/>
    <w:rsid w:val="006C6115"/>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61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61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6115"/>
    <w:rPr>
      <w:rFonts w:eastAsiaTheme="majorEastAsia" w:cstheme="majorBidi"/>
      <w:color w:val="595959" w:themeColor="text1" w:themeTint="A6"/>
      <w:spacing w:val="15"/>
      <w:sz w:val="28"/>
      <w:szCs w:val="28"/>
    </w:rPr>
  </w:style>
  <w:style w:type="paragraph" w:styleId="Lijstalinea">
    <w:name w:val="List Paragraph"/>
    <w:basedOn w:val="Standaard"/>
    <w:uiPriority w:val="34"/>
    <w:qFormat/>
    <w:rsid w:val="006C6115"/>
    <w:pPr>
      <w:ind w:left="720"/>
      <w:contextualSpacing/>
    </w:pPr>
  </w:style>
  <w:style w:type="paragraph" w:styleId="Citaat">
    <w:name w:val="Quote"/>
    <w:basedOn w:val="Standaard"/>
    <w:next w:val="Standaard"/>
    <w:link w:val="CitaatChar"/>
    <w:uiPriority w:val="29"/>
    <w:qFormat/>
    <w:rsid w:val="006C61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6115"/>
    <w:rPr>
      <w:i/>
      <w:iCs/>
      <w:color w:val="404040" w:themeColor="text1" w:themeTint="BF"/>
    </w:rPr>
  </w:style>
  <w:style w:type="paragraph" w:styleId="Duidelijkcitaat">
    <w:name w:val="Intense Quote"/>
    <w:basedOn w:val="Standaard"/>
    <w:next w:val="Standaard"/>
    <w:link w:val="DuidelijkcitaatChar"/>
    <w:uiPriority w:val="30"/>
    <w:qFormat/>
    <w:rsid w:val="006C61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6115"/>
    <w:rPr>
      <w:i/>
      <w:iCs/>
      <w:color w:val="0F4761" w:themeColor="accent1" w:themeShade="BF"/>
    </w:rPr>
  </w:style>
  <w:style w:type="character" w:styleId="Intensievebenadrukking">
    <w:name w:val="Intense Emphasis"/>
    <w:basedOn w:val="Standaardalinea-lettertype"/>
    <w:uiPriority w:val="21"/>
    <w:qFormat/>
    <w:rsid w:val="006C6115"/>
    <w:rPr>
      <w:i/>
      <w:iCs/>
      <w:color w:val="0F4761" w:themeColor="accent1" w:themeShade="BF"/>
    </w:rPr>
  </w:style>
  <w:style w:type="character" w:styleId="Intensieveverwijzing">
    <w:name w:val="Intense Reference"/>
    <w:basedOn w:val="Standaardalinea-lettertype"/>
    <w:uiPriority w:val="32"/>
    <w:qFormat/>
    <w:rsid w:val="006C6115"/>
    <w:rPr>
      <w:b/>
      <w:bCs/>
      <w:smallCaps/>
      <w:color w:val="0F4761" w:themeColor="accent1" w:themeShade="BF"/>
      <w:spacing w:val="5"/>
    </w:rPr>
  </w:style>
  <w:style w:type="character" w:styleId="Hyperlink">
    <w:name w:val="Hyperlink"/>
    <w:basedOn w:val="Standaardalinea-lettertype"/>
    <w:uiPriority w:val="99"/>
    <w:unhideWhenUsed/>
    <w:rsid w:val="00B70304"/>
    <w:rPr>
      <w:color w:val="467886" w:themeColor="hyperlink"/>
      <w:u w:val="single"/>
    </w:rPr>
  </w:style>
  <w:style w:type="character" w:styleId="Onopgelostemelding">
    <w:name w:val="Unresolved Mention"/>
    <w:basedOn w:val="Standaardalinea-lettertype"/>
    <w:uiPriority w:val="99"/>
    <w:semiHidden/>
    <w:unhideWhenUsed/>
    <w:rsid w:val="00B70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ichtinghistos.nl/wp-content/uploads/2026/04/2026_04_12_toevoeging-artikel-4.18a_wel-of-geen-empirische-steun-voor-leesrijpheid.docx"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990</Words>
  <Characters>5446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4</cp:revision>
  <dcterms:created xsi:type="dcterms:W3CDTF">2026-04-20T09:34:00Z</dcterms:created>
  <dcterms:modified xsi:type="dcterms:W3CDTF">2026-04-20T09:40:00Z</dcterms:modified>
</cp:coreProperties>
</file>